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260" w:beforeAutospacing="0" w:after="260" w:afterAutospacing="0" w:line="416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</w:rPr>
        <w:t>采购需求前附表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0" w:afterAutospacing="0" w:line="14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</w:rPr>
      </w:pPr>
    </w:p>
    <w:tbl>
      <w:tblPr>
        <w:tblStyle w:val="13"/>
        <w:tblW w:w="91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2190"/>
        <w:gridCol w:w="59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91" w:type="dxa"/>
            <w:vAlign w:val="top"/>
          </w:tcPr>
          <w:p>
            <w:pPr>
              <w:snapToGrid w:val="0"/>
              <w:spacing w:before="134" w:beforeAutospacing="0" w:after="0" w:afterAutospacing="0" w:line="229" w:lineRule="auto"/>
              <w:ind w:left="312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6"/>
                <w:w w:val="10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5"/>
                <w:w w:val="10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190" w:type="dxa"/>
            <w:vAlign w:val="top"/>
          </w:tcPr>
          <w:p>
            <w:pPr>
              <w:snapToGrid w:val="0"/>
              <w:spacing w:before="135" w:beforeAutospacing="0" w:after="0" w:afterAutospacing="0" w:line="227" w:lineRule="auto"/>
              <w:ind w:left="623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10"/>
                <w:w w:val="10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7"/>
                <w:w w:val="10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款名称</w:t>
            </w:r>
          </w:p>
        </w:tc>
        <w:tc>
          <w:tcPr>
            <w:tcW w:w="5914" w:type="dxa"/>
            <w:vAlign w:val="top"/>
          </w:tcPr>
          <w:p>
            <w:pPr>
              <w:snapToGrid w:val="0"/>
              <w:spacing w:before="135" w:beforeAutospacing="0" w:after="0" w:afterAutospacing="0" w:line="227" w:lineRule="auto"/>
              <w:ind w:left="2031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6"/>
                <w:w w:val="10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内容、说明与要求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91" w:type="dxa"/>
            <w:vAlign w:val="top"/>
          </w:tcPr>
          <w:p>
            <w:pPr>
              <w:snapToGrid w:val="0"/>
              <w:spacing w:before="0" w:beforeAutospacing="0" w:after="0" w:afterAutospacing="0" w:line="258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58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58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5" w:beforeAutospacing="0" w:after="0" w:afterAutospacing="0" w:line="192" w:lineRule="auto"/>
              <w:ind w:left="51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  <w:t>1</w:t>
            </w:r>
          </w:p>
        </w:tc>
        <w:tc>
          <w:tcPr>
            <w:tcW w:w="2190" w:type="dxa"/>
            <w:vAlign w:val="top"/>
          </w:tcPr>
          <w:p>
            <w:pPr>
              <w:snapToGrid w:val="0"/>
              <w:spacing w:before="0" w:beforeAutospacing="0" w:after="0" w:afterAutospacing="0" w:line="245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46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46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5" w:beforeAutospacing="0" w:after="0" w:afterAutospacing="0" w:line="227" w:lineRule="auto"/>
              <w:ind w:left="621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9"/>
                <w:w w:val="100"/>
                <w:sz w:val="23"/>
                <w:szCs w:val="23"/>
              </w:rPr>
              <w:t>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7"/>
                <w:w w:val="100"/>
                <w:sz w:val="23"/>
                <w:szCs w:val="23"/>
              </w:rPr>
              <w:t>款方式</w:t>
            </w:r>
          </w:p>
        </w:tc>
        <w:tc>
          <w:tcPr>
            <w:tcW w:w="5914" w:type="dxa"/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  <w:t>全部设备供货及安装调试完成，经采购人验收合格后10个工作日内支付至合同价款的90%，正常运行6个月后付至合同价款的5%，合同价款余款5%在设备正常运行一年后一次性付清（不计利息）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91" w:type="dxa"/>
            <w:vAlign w:val="top"/>
          </w:tcPr>
          <w:p>
            <w:pPr>
              <w:snapToGrid w:val="0"/>
              <w:spacing w:before="171" w:beforeAutospacing="0" w:after="0" w:afterAutospacing="0" w:line="192" w:lineRule="auto"/>
              <w:ind w:left="495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  <w:t>2</w:t>
            </w:r>
          </w:p>
        </w:tc>
        <w:tc>
          <w:tcPr>
            <w:tcW w:w="2190" w:type="dxa"/>
            <w:vAlign w:val="top"/>
          </w:tcPr>
          <w:p>
            <w:pPr>
              <w:snapToGrid w:val="0"/>
              <w:spacing w:before="133" w:beforeAutospacing="0" w:after="0" w:afterAutospacing="0" w:line="227" w:lineRule="auto"/>
              <w:ind w:left="261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12"/>
                <w:w w:val="100"/>
                <w:sz w:val="23"/>
                <w:szCs w:val="23"/>
              </w:rPr>
              <w:t>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w w:val="100"/>
                <w:sz w:val="23"/>
                <w:szCs w:val="23"/>
              </w:rPr>
              <w:t>货及安装地点</w:t>
            </w:r>
          </w:p>
        </w:tc>
        <w:tc>
          <w:tcPr>
            <w:tcW w:w="5914" w:type="dxa"/>
            <w:vAlign w:val="top"/>
          </w:tcPr>
          <w:p>
            <w:pPr>
              <w:snapToGrid w:val="0"/>
              <w:spacing w:before="133" w:beforeAutospacing="0" w:after="0" w:afterAutospacing="0" w:line="227" w:lineRule="auto"/>
              <w:ind w:left="114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9"/>
                <w:w w:val="100"/>
                <w:sz w:val="23"/>
                <w:szCs w:val="23"/>
                <w:lang w:val="en-US" w:eastAsia="zh-CN"/>
              </w:rPr>
              <w:t>安徽省红十字会医院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9"/>
                <w:w w:val="100"/>
                <w:sz w:val="23"/>
                <w:szCs w:val="23"/>
              </w:rPr>
              <w:t>，采购人指定地点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91" w:type="dxa"/>
            <w:vAlign w:val="top"/>
          </w:tcPr>
          <w:p>
            <w:pPr>
              <w:snapToGrid w:val="0"/>
              <w:spacing w:before="171" w:beforeAutospacing="0" w:after="0" w:afterAutospacing="0" w:line="190" w:lineRule="auto"/>
              <w:ind w:left="497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  <w:t>3</w:t>
            </w:r>
          </w:p>
        </w:tc>
        <w:tc>
          <w:tcPr>
            <w:tcW w:w="2190" w:type="dxa"/>
            <w:vAlign w:val="top"/>
          </w:tcPr>
          <w:p>
            <w:pPr>
              <w:snapToGrid w:val="0"/>
              <w:spacing w:before="133" w:beforeAutospacing="0" w:after="0" w:afterAutospacing="0" w:line="227" w:lineRule="auto"/>
              <w:ind w:left="261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12"/>
                <w:w w:val="100"/>
                <w:sz w:val="23"/>
                <w:szCs w:val="23"/>
              </w:rPr>
              <w:t>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w w:val="100"/>
                <w:sz w:val="23"/>
                <w:szCs w:val="23"/>
              </w:rPr>
              <w:t>货及安装期限</w:t>
            </w:r>
          </w:p>
        </w:tc>
        <w:tc>
          <w:tcPr>
            <w:tcW w:w="5914" w:type="dxa"/>
            <w:vAlign w:val="top"/>
          </w:tcPr>
          <w:p>
            <w:pPr>
              <w:snapToGrid w:val="0"/>
              <w:spacing w:before="134" w:beforeAutospacing="0" w:after="0" w:afterAutospacing="0" w:line="227" w:lineRule="auto"/>
              <w:ind w:left="114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9"/>
                <w:w w:val="100"/>
                <w:sz w:val="23"/>
                <w:szCs w:val="23"/>
              </w:rPr>
              <w:t>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w w:val="100"/>
                <w:sz w:val="23"/>
                <w:szCs w:val="23"/>
              </w:rPr>
              <w:t>同签订后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8"/>
                <w:w w:val="100"/>
                <w:sz w:val="23"/>
                <w:szCs w:val="23"/>
              </w:rPr>
              <w:t>15个工作日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1" w:type="dxa"/>
            <w:vAlign w:val="top"/>
          </w:tcPr>
          <w:p>
            <w:pPr>
              <w:snapToGrid w:val="0"/>
              <w:spacing w:before="0" w:beforeAutospacing="0" w:after="0" w:afterAutospacing="0" w:line="312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5" w:beforeAutospacing="0" w:after="0" w:afterAutospacing="0" w:line="192" w:lineRule="auto"/>
              <w:ind w:left="492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  <w:t>4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spacing w:before="75" w:beforeAutospacing="0" w:after="0" w:afterAutospacing="0" w:line="228" w:lineRule="auto"/>
              <w:ind w:left="506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7"/>
                <w:w w:val="100"/>
                <w:sz w:val="23"/>
                <w:szCs w:val="23"/>
                <w:highlight w:val="none"/>
              </w:rPr>
              <w:t>免费质保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6"/>
                <w:w w:val="100"/>
                <w:sz w:val="23"/>
                <w:szCs w:val="23"/>
                <w:highlight w:val="none"/>
              </w:rPr>
              <w:t>期</w:t>
            </w:r>
          </w:p>
        </w:tc>
        <w:tc>
          <w:tcPr>
            <w:tcW w:w="5914" w:type="dxa"/>
            <w:vAlign w:val="center"/>
          </w:tcPr>
          <w:p>
            <w:pPr>
              <w:snapToGrid w:val="0"/>
              <w:spacing w:before="0" w:beforeAutospacing="0" w:after="0" w:afterAutospacing="0" w:line="227" w:lineRule="auto"/>
              <w:ind w:left="114"/>
              <w:jc w:val="both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18"/>
                <w:w w:val="100"/>
                <w:position w:val="17"/>
                <w:sz w:val="23"/>
                <w:szCs w:val="23"/>
                <w:highlight w:val="none"/>
                <w:lang w:val="en-US" w:eastAsia="zh-CN"/>
              </w:rPr>
              <w:t>详见采购需求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1091" w:type="dxa"/>
            <w:vAlign w:val="top"/>
          </w:tcPr>
          <w:p>
            <w:pPr>
              <w:snapToGrid w:val="0"/>
              <w:spacing w:before="0" w:beforeAutospacing="0" w:after="0" w:afterAutospacing="0" w:line="273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73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5" w:beforeAutospacing="0" w:after="0" w:afterAutospacing="0" w:line="189" w:lineRule="auto"/>
              <w:ind w:left="497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  <w:t>5</w:t>
            </w:r>
          </w:p>
        </w:tc>
        <w:tc>
          <w:tcPr>
            <w:tcW w:w="2190" w:type="dxa"/>
            <w:vAlign w:val="top"/>
          </w:tcPr>
          <w:p>
            <w:pPr>
              <w:snapToGrid w:val="0"/>
              <w:spacing w:before="0" w:beforeAutospacing="0" w:after="0" w:afterAutospacing="0" w:line="254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54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74" w:beforeAutospacing="0" w:after="0" w:afterAutospacing="0" w:line="227" w:lineRule="auto"/>
              <w:ind w:left="272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7"/>
                <w:w w:val="100"/>
                <w:sz w:val="23"/>
                <w:szCs w:val="23"/>
              </w:rPr>
              <w:t>医疗器械注册证</w:t>
            </w:r>
          </w:p>
        </w:tc>
        <w:tc>
          <w:tcPr>
            <w:tcW w:w="5914" w:type="dxa"/>
            <w:vAlign w:val="top"/>
          </w:tcPr>
          <w:p>
            <w:pPr>
              <w:snapToGrid w:val="0"/>
              <w:spacing w:before="117" w:beforeAutospacing="0" w:after="0" w:afterAutospacing="0" w:line="468" w:lineRule="exact"/>
              <w:ind w:left="113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9"/>
                <w:w w:val="100"/>
                <w:position w:val="17"/>
                <w:sz w:val="23"/>
                <w:szCs w:val="23"/>
              </w:rPr>
              <w:t>所投产品涉及医疗器械的须具有医疗器械注册证(或备案凭证)，合同签订后，由成交供应商在供货前向采购人提供查验,否则采购人有权解除合同，由此产生的后果及责任由成交供应商承担。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1"/>
        </w:rPr>
        <w:br w:type="page"/>
      </w:r>
    </w:p>
    <w:p>
      <w:pPr>
        <w:pStyle w:val="6"/>
        <w:snapToGrid w:val="0"/>
        <w:spacing w:before="260" w:beforeAutospacing="0" w:after="260" w:afterAutospacing="0" w:line="480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t>（一）手术床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★1、采用微电脑、双控制器控制，实行多方位操纵，并设有防止误操作的锁开关。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★2、本手术台特为眼科、脑外科手术设计了超低位置，医生可实行坐位手术，亦适用于胸腹外科、骨科手术、妇产科、泌尿科等手术。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★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、整个台面可进行前、后纵向移动，实现全体位 C 臂 X 线摄片或透视。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★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、台面分为五个活动段，分别为头板、背板、臀板、腰桥板、腿板。所有段位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、皆采用可透射 X 光线的材料，头板和腿板可互换位置。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★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、本手术台型式为电动液压按键操纵式，可通过二种控制面板来操作手术台的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、各种体位，即手持控制器、固定控制面板。具有“一键复位”功能。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、台面各活动段除头板、腿板外均采用电动液压控制。头板、腿板为手动操纵。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、台面设有腰桥升降，为胆、肾脏手术提供方便。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、手术台底座具有固定或移动功能，移动灵活，固定可靠。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、配有多种功能的附件，以适合不同手术的需要。 </w:t>
      </w:r>
    </w:p>
    <w:p>
      <w:pPr>
        <w:keepLines w:val="0"/>
        <w:widowControl/>
        <w:suppressLineNumbers w:val="0"/>
        <w:tabs>
          <w:tab w:val="left" w:pos="439"/>
        </w:tabs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、整机设计符合国家医用电器安全标准。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、整机结构合理，造型新颖。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★1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、腿板采用弹簧装置机构，可进行无间隙体位的调整。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★1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、本手术台有内置充电电池，一旦电源中断，手术台仍能由充电电池应急工作。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★1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、一体式的床垫，具有记忆功能。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、台面全长 2080±30mm，台面宽 520±10mm；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★1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、台面最低≤550±25mm（不含垫），升幅≥400±10mm；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、台面纵向移动距离≥300mm；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、头板上折≥50°、下折≥90°，且可拆卸；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、背板上折≥80°、下折≥15°；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、台面前倾≥25°、后倾≥20°；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、台面左倾≥15°、右倾≥15°；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 xml:space="preserve">、腿板下折≥90°，上折≥15°分叉式，可左右分开 180°，且可拆卸。 </w:t>
      </w:r>
    </w:p>
    <w:p>
      <w:pPr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210" w:leftChars="1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、腰桥升距：≥130 mm</w:t>
      </w:r>
    </w:p>
    <w:p>
      <w:pPr>
        <w:pStyle w:val="2"/>
        <w:snapToGrid w:val="0"/>
        <w:spacing w:before="0" w:beforeAutospacing="0" w:after="0" w:afterAutospacing="0" w:line="240" w:lineRule="auto"/>
        <w:ind w:left="210" w:leftChars="100" w:firstLine="0" w:firstLineChars="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★26、免费质保期2年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，提供原厂质保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。</w:t>
      </w:r>
    </w:p>
    <w:p>
      <w:pPr>
        <w:snapToGrid w:val="0"/>
        <w:spacing w:before="0" w:beforeAutospacing="0" w:after="0" w:afterAutospacing="0" w:line="480" w:lineRule="auto"/>
        <w:ind w:left="210" w:left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br w:type="page"/>
      </w:r>
    </w:p>
    <w:p>
      <w:pPr>
        <w:pStyle w:val="6"/>
        <w:snapToGrid w:val="0"/>
        <w:spacing w:before="260" w:beforeAutospacing="0" w:after="260" w:afterAutospacing="0" w:line="480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t>（二）无影灯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1、灯头直径：双灯：母灯700mm ，子灯 500mm 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2、灯头外形：全封闭流线型，符合空气动力学设计，具备良好的层流效果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★3、反光罩：母灯多棱镜镜面数为4000多片。子灯多棱镜镜面数为3000多片（提供实物照片）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4、滤光器：采用蓝色镀膜技术，可达到真正的冷光效果。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5、母灯中心最大照度≤160000（LUX），子灯中心最大照度≥120000（LUX）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6、聚焦深度：≥1200mm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7、光斑直径：150—350mm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8、色温：4500k±250k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9、灯泡功率：24v ，150w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★10、灯泡：OSRAM灯泡，平均寿命1000小时以上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★11、灯泡切换：0.2秒内切换到备用灯泡，具有主副灯失效指示功能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12、显色性指数：95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13、吸热系统：采用先进红外滤过器能滤过绝大部分热辐射，具备出色光能效率，从而达到绝佳的冷光效果。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14、医生头部温升：≤ 2℃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15、手术野温升：≤11℃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★16、灯壳外罩采用铝合金材质，宜于散热，且表面采用环保粉沫喷塑处理，粉沫通过欧盟ROHS检测（提供专业检测机构出具的检测报告）。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17、灯头最大旋转半径：≥1800mm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18、控制面板为微电脑数字控制，具备八段连续可调的亮度选择，并具备有照度记忆功能和宽电压工作特性。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★19、调焦手柄：可拆卸消毒，手柄外套能高温灭菌≤160℃（提供权威机构材料证明文件）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20、采用配置轻巧的平衡臂、方形旋转臂悬挂系统。六组关节联动、移动轻巧、定位稳定。360度的全方位设计，可满足手术中不同高度和角度的需要。</w:t>
      </w:r>
    </w:p>
    <w:p>
      <w:pPr>
        <w:snapToGrid w:val="0"/>
        <w:spacing w:before="0" w:beforeAutospacing="0" w:after="0" w:afterAutospacing="0" w:line="360" w:lineRule="auto"/>
        <w:ind w:firstLine="484" w:firstLineChars="202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★21、产品通过ISO13485、CE和FDA认证。</w:t>
      </w:r>
    </w:p>
    <w:p>
      <w:pPr>
        <w:pStyle w:val="2"/>
        <w:snapToGrid w:val="0"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免费质保期2年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，提供原厂质保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br w:type="page"/>
      </w:r>
    </w:p>
    <w:p>
      <w:pPr>
        <w:pStyle w:val="6"/>
        <w:snapToGrid w:val="0"/>
        <w:spacing w:before="260" w:beforeAutospacing="0" w:after="260" w:afterAutospacing="0" w:line="480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t>（三）血气分析仪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1.设备名称：血气生化分析仪。</w:t>
      </w: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2.方法学：干式电化学法、交流阻抗。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3.电极测量方式：免维护微电极技术。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4.进样方式：水平自动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进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样。</w:t>
      </w: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5.血气在国家卫健委临床检验中心室间质评EQA独立分组（提供证明文件）。</w:t>
      </w: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6.测试参数：PH、PO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bscript"/>
          <w:lang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、PCO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bscript"/>
          <w:lang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、Na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perscript"/>
          <w:lang w:eastAsia="zh-CN"/>
        </w:rPr>
        <w:t>＋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、K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perscript"/>
          <w:lang w:eastAsia="zh-CN"/>
        </w:rPr>
        <w:t>＋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，CL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perscript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,Ca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perscript"/>
          <w:lang w:eastAsia="zh-CN"/>
        </w:rPr>
        <w:t>++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, Hct，Lac，Glu，一张测试卡可同时检测最多10项实测参数。（提供证明文件）</w:t>
      </w: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7.测试卡类型42种，至少可提供两个种9项测试卡。</w:t>
      </w:r>
    </w:p>
    <w:p>
      <w:pPr>
        <w:snapToGrid w:val="0"/>
        <w:spacing w:before="0" w:beforeAutospacing="0" w:after="0" w:afterAutospacing="0" w:line="480" w:lineRule="auto"/>
        <w:ind w:left="450" w:leftChars="100" w:hanging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8.计算参数：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cH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perscript"/>
        </w:rPr>
        <w:t>+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，HCO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perscript"/>
        </w:rPr>
        <w:t>3-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act，HCO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perscript"/>
        </w:rPr>
        <w:t>3-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std，BE(ecf)，BE(B)，BB(B)，ctCO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i/>
          <w:caps w:val="0"/>
          <w:spacing w:val="0"/>
          <w:w w:val="100"/>
          <w:sz w:val="24"/>
          <w:szCs w:val="24"/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O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(est)，Ca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vertAlign w:val="superscript"/>
        </w:rPr>
        <w:t>++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(7.4)，AnGap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等,实测和计算参数≥34项。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9.标本类型：可适用于动脉血、静脉血、毛细血管血、混合动静脉血等≥6种。</w:t>
      </w: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.测试卡：单人份设计，常温或冷藏保存，即取即用。（提供证明文件）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.质量控制：提供原厂配套三级液体质控品、电子仿真质控。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.消耗品：除一次性测试卡外无其他消耗品；24小时待机无消耗。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.操作界面：≥7英寸彩色触摸屏操作,中英文语言自由切换，内置多媒体操作教程。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.内置高容量充电电池，待机时间≥20h或可连续测量样本数≥50个。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.小巧便携，重量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≤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Kg(含电池)，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使用环境要求:10-31℃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。</w:t>
      </w:r>
    </w:p>
    <w:p>
      <w:pPr>
        <w:snapToGrid w:val="0"/>
        <w:spacing w:before="0" w:beforeAutospacing="0" w:after="0" w:afterAutospacing="0" w:line="480" w:lineRule="auto"/>
        <w:ind w:firstLine="240" w:firstLineChars="1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.检测参数的升级：联网升级软件，使用新的测试卡即可完成，无需增加模块。</w:t>
      </w:r>
    </w:p>
    <w:p>
      <w:pPr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.获得FDA认证（提供证明材料）。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18.安徽省公立二甲(含二甲）以上医院装机量不少于15家（提供用户名单）</w:t>
      </w:r>
    </w:p>
    <w:p>
      <w:pPr>
        <w:pStyle w:val="2"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19.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免费质保期3年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，提供原厂质保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br w:type="page"/>
      </w:r>
    </w:p>
    <w:p>
      <w:pPr>
        <w:pStyle w:val="6"/>
        <w:numPr>
          <w:ilvl w:val="0"/>
          <w:numId w:val="1"/>
        </w:numPr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t>肺功能仪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tbl>
      <w:tblPr>
        <w:tblStyle w:val="11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肺功能技术规格及参数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一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用户数量：近三年来同类产品配置设备本地区三甲医院用户数≥6家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二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★1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仪器可测定患者年龄段在4岁及以上，如果产品注册证登记表没有设备适合的年龄人群的描述，请提供产品注册的检验报告，以确保此套设备适合于儿童及成人测定。主机未来可升级扩展包括连续频率脉冲振荡法(IOS) 肺功能测定功能、支气管药物激发试验等模块，各模块具备进口产品注册证，在注册登记表中有明确描述。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流速传感器技术指标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★2.1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数字积分双向铂合金筛网压差式（非Lilly型压差式）或者热线式流速传感器,带电加热系统，具有避免水汽结露以及消毒灭菌作用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2.2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手柄式结构，压力差传感器直接安装在手柄部位，筛网传感器和手柄间的连接采用硬连结构，以提高传感器的频响，直接在手柄内完成流速信号的模数转换，手柄与主机间信号采用数字信号传递，以消除干扰和避免信号衰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★3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四岁以上儿童及成人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肺通气功能检查，包括：VT 潮气量；BF 呼吸频率；VC MAX最大肺活量；FVC 用力肺活量；FEV1 一秒量；FEV2二秒量；FEV3三秒量；FEV1%VC一秒率；FEV1*30；FEV1%F；FEV3%F；FEV3%VC；MV通气量；MEF25/50/75；MMEF；IC 深吸气量；ERV补呼气量；IRV补吸气量；PIF吸气峰值流速；PEF呼气峰值流速；VC IN吸气肺活量；VC EX呼气肺活量；MVV最大通气量等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支气管药物舒张试验功能测定包括：</w:t>
            </w:r>
          </w:p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药物试验规程设置；吸药前后肺功能对比；药物使用效果评定等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提供医疗器械注册证。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主机带有完全开放式的预计值系统，采用中国人预计值系统，医院可以根据需要写入自己本地区的相关预计值。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三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一般技术要求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阻力＜0.05Kpa/L/S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测量范围：0－20L／S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分辨率：10ML／S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测量误差：＜2％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流速传感器具备容积定标系统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单个流速传感器正常使用寿命五年以上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肺功能仪传感器与操作计算机的接口为RS232接口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报告打印为A4幅面彩色打印，不采用热敏打印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PC计算机（1套），彩色喷墨打印机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四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Lines w:val="0"/>
              <w:widowControl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必备配置要求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★1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Lines w:val="0"/>
              <w:widowControl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主机一台，配备笔记本电脑或台式电脑 彩色喷墨打印机，具备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升容积定标桶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五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Lines w:val="0"/>
              <w:widowControl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售后服务及其他要求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Lines w:val="0"/>
              <w:widowControl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设备具有相当的权威性、可比性。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Lines w:val="0"/>
              <w:widowControl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投标人确保上述材料文件的真实性，如有虚假将导致直接废标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Lines w:val="0"/>
              <w:widowControl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由供应商安排专业工程师到用户现场进行免费仪器安装、调试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Lines w:val="0"/>
              <w:widowControl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如果有相关耗材，明确报价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Lines w:val="0"/>
              <w:widowControl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免费质保期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，提供原厂质保</w:t>
            </w:r>
          </w:p>
        </w:tc>
      </w:tr>
    </w:tbl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br w:type="page"/>
      </w:r>
    </w:p>
    <w:p>
      <w:pPr>
        <w:pStyle w:val="6"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t>（五）一体式C臂</w:t>
      </w:r>
    </w:p>
    <w:p>
      <w:pPr>
        <w:pStyle w:val="3"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lang w:val="en-US" w:eastAsia="zh-CN"/>
        </w:rPr>
      </w:pPr>
    </w:p>
    <w:tbl>
      <w:tblPr>
        <w:tblStyle w:val="11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技术参数及要求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★整体要求：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适用于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疼痛科、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骨科、外科、手术室等科室临床需要，一体化数字C型臂（非分体式C型臂）。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高压发生器：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功率：≥5kW；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透视最大KV值：≥120kV；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脉冲透视最大mA值：≥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mA；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自动亮度跟踪功能：具备；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数字摄片最大mA值：≥100mA；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数字摄片最大kV值：≥120kV；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数字射片最大mAs值：≥180mAs；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球管：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透视焦点：小焦≥0.6mm ，大焦≥1.8mm；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阳极：固定阳极；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管套热容量：≥860KHU；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数字化影像系统：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1、标配工作站：标准配置；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2、CCD摄像机：医用百万像素超低照度数字摄像机；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3、影像增强器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9"三视野影像增强器；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机架一体式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监视器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寸一体化电脑1台；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5、滤线栅：进口品牌 1套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6、一体化数字采集处理系统：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（1）登记：登记保存、病历查询、Worklist；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（2）采集：开始采集、准备录像、重置、水平镜像、垂直镜像、调窗、放大镜、负像、打开剪影、边缘增强、递归降噪；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（3）处理：四窗、九窗、锐化、水平镜像、垂直镜像、文字标注、长度测量；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（4）报表：保存、预览、专家模板；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7、标准DICOM接口：具备；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C形臂机架：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1、焦屏距：≥950mm；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左右摆角：≥±15°；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3、C臂轨道内运动角：120°（+90°/-30°）；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4、导向轮及主轮：导向轮可以任意方向转动，主轮±90°旋转；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5、自平衡功能：具备；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字定位器：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机架监视器旋转：≥300°；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机器操控：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主机操作界面：采用人体图形化彩色液晶触摸屏；</w:t>
            </w:r>
          </w:p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手持控制器：具备；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★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售后服务：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免费质保期1年，提供原厂质保。</w:t>
            </w:r>
          </w:p>
        </w:tc>
      </w:tr>
    </w:tbl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6"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t>（六）单泵机技术参数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一、主要技术参数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1、机身尺寸（mm）： ≤340（宽），设备占用空间小。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2、供电：交流，220V（±10%），频率：50－60Hz。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3、供水：供水压:1－3bar；供水温度：5－30℃。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4、后备电池：支持血泵运转20分钟；具备断电状态保存功能。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5、血流量：50－600ml/min。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6、动脉压：-300－+280mmHg。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7、静脉压：-100－+500mmHg。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8、跨膜压：-100－+500mmHg。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9、透析液流量：300－700ml/min；任意可调。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10、透析液浓度：测量范围：13.0－16.0mS/cm。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11、B液浓度：测量范围： 1.0－7.0mS/cm。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2、空气探测：超声探测；最高检测精度达到0.0005ml。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13、肝素注入：给药速率：0.0—10.0ml/h；注射器尺寸：10ml，20ml，30ml均可用。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14、漏血检测：红绿双色光电式检测，精度：≤0.4mL/min。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15、超滤：超滤速度：0.0－4.0L/h。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二、系统功能概述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1、人机交互：≥12英寸彩色液晶显示器，触摸屏操作，中文操作系统。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2、信息记录：具备装置的设定、报警、操作信息记录功能，方便查询；具备配管监视功能，可提供机器内部液路流程及相关参数的实时显示，直观了解透析液回路的运行状态。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3、信息提示：具备全中文报警自我解释功能，可提示报警的原因与排除的方式。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4、原液配方：原液配方全开放，默认记忆多种原液配方，可任意更改。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5、超滤系统：采用流量计或复式泵加脱水泵平衡与超滤控制系统。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6、配液方式：先吸B液后吸A液，有单独的A、B浓缩液泵，B液浓度误差更小。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7、透析液浓度曲线：可进行可调钠曲线治疗，并可预存≥8条曲线，实现个性化透析。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8、B浓度曲线：可进行可调碳酸氢盐曲线治疗，并可预存≥8条曲线，实现个性化透析。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9、超滤曲线：可进行可调超滤曲线治疗，并可预存≥8条曲线，实现个性化透析。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10、消毒方式：具备药液消毒和热消毒方式，热水柠檬酸消毒温度最高可达到≥85℃，消毒、脱钙一体化完成时间≤36min。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11、透析液过滤：标准配备透析液过滤器组件。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12、自检：全功能数字化自检，为保证治疗安全自检不可跳过。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13、报警指示灯：具有可视外部独立四种颜色报警灯，具有声光报警指示。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14、预冲辅助：具有预冲辅助功能，可根据科室需要设置预冲量和预冲速度，简化临床操作。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15、自动排液：可自动排除透析器及管路内的残余液体，医疗废物整理更加整洁、轻松，降低科室运营成本。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zh-CN"/>
        </w:rPr>
        <w:t>★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16、免费质保期5年，提供原厂质保。</w:t>
      </w: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widowControl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pStyle w:val="2"/>
        <w:snapToGrid w:val="0"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1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pStyle w:val="6"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t>（七）血液透析用制水设备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一、技术参数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1.1、产水水质：符合YY0572-2015《血液透析及相关治疗用水》标准。（提供水质检测报告）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1.2、工艺特点：源水多级处理、双级反渗透、热消毒系统、二级纯水直供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1.3、产水流量：≥　1500  L/H（25℃）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1.4、系统脱盐率：≥99%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1.5、细菌、微生物去除率：≥99%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1.6、智能回收：≥70％-85%（自动调整）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1.7、运行控制：自动、应急手动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1.8、操作方式：Human Machine Interface人机智能触控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1.9、主机消毒方式：自动化学消毒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1.10、纯水管路消毒方式：自动化学消毒、自动热消毒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1.11、加热方式：无接触式外加热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1.12、运行压力：0.8〜1.2Mpa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1.13、电器安全：符合GB4793.1《测量、控制和实验室用电气设备的安全要求第1部分：通用要求》。GB/T18268.1－2010《测量、控制和实验室用的电设备电磁兼容性要求第一部分：通用要求》。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1.14、电源要求：AV380V±10% ，三相五线制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1.15、供水水源：必须符合GB5749水质标准，压力0.15〜0.45Mpa，水温5-40℃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二、设备应具有高端的制水性能，系统设计体现智能化操作。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2.1、系统工艺流程：源水多级处理→进水温补→智能双级反渗透→无死腔循环供水。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2.2、自动运行：一键启动制水，期间无需人工值守，可设置定时制水时段，自由设定每日开关机时间。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2.3、自动消毒：一键启动消毒程序，自动吸入消毒液，无需人工投加。阀门自动切换，消毒环节任意时长可设置，自动冲洗，电导检测合格，消毒程序自行终止，消毒过程无需人工干预。自动热消毒系统可任意设定时间和回水及出水温度，并具备自动打印功能，可设置达到128摄氏度超高温灭菌。（须提供国家权威机关审核通过的证书复印件）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★2.4、智能废水回收平衡系统：系统自动处理，通过对原水电导采集分析，自动调整浓水回收比例，使设备始终处于最佳的节水状态。（须提供国家权威机关审核通过的证书复印件）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2.5、控制系统：采用德国进口西门子可编程逻辑控制器，10寸彩色触摸屏，操作简单、方便。触摸式中文操作界面，三级菜单，多级密码保护功能，设备运行状况动态模拟。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2.6、系统软件：自主研发血液透析用水处理设备控制软件，移动互联，可支持无线连接及手机APP远程监控。（须提供国家权威机关审核通过的软件著作证书复印件）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2.7、智能供水动态平衡系统：系统通过监测与计算，自动调整进水流量，使设备制水与进水始终维持一个平衡状态，消除水锤效应大幅度提升设备稳定性。（须提供国家权威机关审核通过的证书复印件、软件著作证书复印件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★2.8、智能产水平衡系统：通过系统对数据的检测，实时判断实时水量，适时降低膜压延节省能源或增高膜压提升产水量。（须提供国家权威机关审核通过的证书复印件）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★2.9、预处理智控模块：智能调控预处理再生时间，集成于主机触摸屏上进行设置，兼容于水处理的操作系统。避免预处理冲洗、再生与主机运行相冲突；（提供操作界面图片或图纸文件）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三、为保证高质量的透析效果，系统应具有高效的抑菌措施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3.1、开、关机自动冲洗：大量的水冲刷膜表面，防止膜表面形成生物膜。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3.2、脉动运行：间隔启动运行制水，使设备内部的水间断性循环流动，防止长时间静止的水中滋生细菌、微生物。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★3.3、全系统采用无死腔设计：压力表、膜壳为无死腔结构，管路连接均采用大弧形弯头和顺流式三通。（须提供国家权威机关审核通过的证书复印件或外观结构图纸）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★3.4、纯水养护：停机后纯水填整个系统，防止微生物滋生。（须提供国家权威机关审核通过的证书复印件）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四、保证透析工作的连续性，水处系统具备完善的应急方案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4.1、一、二级应急切换：反渗透系统的一级或二级发生故障时，或紧急检修的情况下，可切换为单独一级或单独二级制水。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4.2、应急按钮：当操作面板故障时，按下应急按钮，可正常启动双极制水。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五、配置参数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5.1、设备总体：主机最大宽度≤90cm，结构布局遵循安装、操作、检修方便为原则，并具有美观性。（须提供国家权威机关审核通过的证书）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5.2、预处理系统：原水泵变频增压、多介质过滤器，活性碳过滤器，软化器过滤器，全部采用进口Wave Cyber品牌过滤罐，进口FLECK品牌自动多路阀。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5.3、反渗透高压水泵：进口（丹麦）格兰富品牌，立式多级离心泵。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5.4、反渗透膜：进口（美国）海德能ESPA系列或陶氏SERIAL系列反渗透膜组件。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★5.5、无盲端膜壳：采用无空腔微缝设计，有效提高膜壳内水流速度。全循环无死腔设计，上进上出。卫生级不锈钢材质，采用底端固定方式，方便维护。（须提供国家权威机关审核通过的证书复印件）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5.6、PLC：原装进口德国西门子SMART系列，可编程逻辑控制器。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5.7、触摸屏：西门子彩色宽屏。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5.8、主机连接管路：卫生级不锈钢管件和阀门，内外惰性气体保护全自动环缝工艺焊接，快装卡箍式连接。管路无死腔设计。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5.9、比例阀：电动三通位，可自动整体阀门开度。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5.10、电导表：国际知名品牌电导表，316L不锈钢探头，同时检测源水、一级产水、二级产水电导值，并带温度显示。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5.11、主机机架：304不锈钢方管焊接成形，表面拉丝处理，方管壁厚≥2mm。四轮可转向，并带有自锁装置，机架中部设有金属底脚固定。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★5.12、无死腔纯水循环管路：管件材质采用进口PEX管路(含管路外保温材料)，管路安装形成无死腔大循环。（须提供国家权威机关审核通过的证书复印件）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5.13、纯水恒压供水装置：德国斯德宝品牌稳压阀，自动恒定纯水管路压力值，保证血透机进水压力需求。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六、商务要求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★6.1、售后承诺：整机设备保修5年（提供原厂质保），卖方接到用户报修后24小时内解决问题或到达用户地。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★6.2、制造商资质需具有ISO9001质量体系认证、ISO13485医疗器械质量体系认证。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★6.3、制造商资质需具有高新技术企业证书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★6.4、设备制造商必须有省级药监部门颁发的注册证（含管路热消毒系统） 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134" w:right="1080" w:bottom="1134" w:left="1080" w:header="567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14B9A"/>
    <w:multiLevelType w:val="singleLevel"/>
    <w:tmpl w:val="CAB14B9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071668"/>
    <w:multiLevelType w:val="singleLevel"/>
    <w:tmpl w:val="63071668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6307167E"/>
    <w:multiLevelType w:val="singleLevel"/>
    <w:tmpl w:val="6307167E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NjZjYmFlMmVhODUyZGViY2Y1MGM1NjU0ZmRkNGIifQ=="/>
  </w:docVars>
  <w:rsids>
    <w:rsidRoot w:val="00000000"/>
    <w:rsid w:val="09027C2D"/>
    <w:rsid w:val="0C4A1EDF"/>
    <w:rsid w:val="1FAA0E48"/>
    <w:rsid w:val="206931C0"/>
    <w:rsid w:val="2FB971F8"/>
    <w:rsid w:val="354540CE"/>
    <w:rsid w:val="3D504E6F"/>
    <w:rsid w:val="45CD2D26"/>
    <w:rsid w:val="51702CBD"/>
    <w:rsid w:val="5E8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645"/>
    </w:pPr>
    <w:rPr>
      <w:rFonts w:ascii="Arial" w:hAnsi="Arial" w:eastAsia="仿宋_GB2312"/>
      <w:sz w:val="28"/>
    </w:rPr>
  </w:style>
  <w:style w:type="paragraph" w:customStyle="1" w:styleId="4">
    <w:name w:val="xl53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sz w:val="20"/>
    </w:rPr>
  </w:style>
  <w:style w:type="paragraph" w:styleId="7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8">
    <w:name w:val="index 4"/>
    <w:basedOn w:val="1"/>
    <w:next w:val="1"/>
    <w:qFormat/>
    <w:uiPriority w:val="0"/>
    <w:pPr>
      <w:ind w:left="600" w:leftChars="600"/>
    </w:pPr>
    <w:rPr>
      <w:rFonts w:ascii="Times New Roman" w:hAnsi="Times New Roman" w:eastAsia="宋体" w:cs="Times New Roma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6663</Words>
  <Characters>7522</Characters>
  <Lines>0</Lines>
  <Paragraphs>0</Paragraphs>
  <TotalTime>3</TotalTime>
  <ScaleCrop>false</ScaleCrop>
  <LinksUpToDate>false</LinksUpToDate>
  <CharactersWithSpaces>7586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2022-08-24T07:03:00Z</dcterms:created>
  <dc:creator>Administrator</dc:creator>
  <cp:lastModifiedBy>晓飒</cp:lastModifiedBy>
  <dcterms:modified xsi:type="dcterms:W3CDTF">2022-09-02T08:27:50Z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D0BB595B6D204268B795E6CDC9EE821F</vt:lpwstr>
  </property>
</Properties>
</file>